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098" w:rsidRPr="004D4EE2" w:rsidRDefault="001446F6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D4EE2">
        <w:rPr>
          <w:color w:val="1F4F69" w:themeColor="accent1" w:themeShade="80"/>
          <w:sz w:val="24"/>
          <w:szCs w:val="24"/>
        </w:rPr>
        <w:t xml:space="preserve">Caro studente, </w:t>
      </w:r>
    </w:p>
    <w:p w:rsidR="00AF0098" w:rsidRPr="004D4EE2" w:rsidRDefault="00AF0098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</w:p>
    <w:p w:rsidR="00AF0098" w:rsidRPr="00C8252E" w:rsidRDefault="001446F6" w:rsidP="00EB18AA">
      <w:pPr>
        <w:spacing w:after="0" w:line="240" w:lineRule="auto"/>
        <w:jc w:val="both"/>
        <w:rPr>
          <w:b/>
          <w:color w:val="1F4F69" w:themeColor="accent1" w:themeShade="80"/>
          <w:sz w:val="24"/>
          <w:szCs w:val="24"/>
        </w:rPr>
      </w:pPr>
      <w:r w:rsidRPr="004D4EE2">
        <w:rPr>
          <w:color w:val="1F4F69" w:themeColor="accent1" w:themeShade="80"/>
          <w:sz w:val="24"/>
          <w:szCs w:val="24"/>
        </w:rPr>
        <w:t>il nostro Dipartimento ha il piacere</w:t>
      </w:r>
      <w:r w:rsidR="003642E6">
        <w:rPr>
          <w:color w:val="1F4F69" w:themeColor="accent1" w:themeShade="80"/>
          <w:sz w:val="24"/>
          <w:szCs w:val="24"/>
        </w:rPr>
        <w:t xml:space="preserve"> di invitar</w:t>
      </w:r>
      <w:r w:rsidR="009E04E5">
        <w:rPr>
          <w:color w:val="1F4F69" w:themeColor="accent1" w:themeShade="80"/>
          <w:sz w:val="24"/>
          <w:szCs w:val="24"/>
        </w:rPr>
        <w:t>ti</w:t>
      </w:r>
      <w:r w:rsidR="003642E6">
        <w:rPr>
          <w:color w:val="1F4F69" w:themeColor="accent1" w:themeShade="80"/>
          <w:sz w:val="24"/>
          <w:szCs w:val="24"/>
        </w:rPr>
        <w:t xml:space="preserve"> a partecipare alla </w:t>
      </w:r>
      <w:r w:rsidR="007E26BD">
        <w:rPr>
          <w:color w:val="1F4F69" w:themeColor="accent1" w:themeShade="80"/>
          <w:sz w:val="24"/>
          <w:szCs w:val="24"/>
        </w:rPr>
        <w:t>terza</w:t>
      </w:r>
      <w:r w:rsidR="003642E6">
        <w:rPr>
          <w:color w:val="1F4F69" w:themeColor="accent1" w:themeShade="80"/>
          <w:sz w:val="24"/>
          <w:szCs w:val="24"/>
        </w:rPr>
        <w:t xml:space="preserve"> edizione </w:t>
      </w:r>
      <w:r w:rsidR="00372256">
        <w:rPr>
          <w:color w:val="1F4F69" w:themeColor="accent1" w:themeShade="80"/>
          <w:sz w:val="24"/>
          <w:szCs w:val="24"/>
        </w:rPr>
        <w:t xml:space="preserve">di </w:t>
      </w:r>
      <w:proofErr w:type="spellStart"/>
      <w:r w:rsidRPr="004D4EE2">
        <w:rPr>
          <w:color w:val="1F4F69" w:themeColor="accent1" w:themeShade="80"/>
          <w:sz w:val="24"/>
          <w:szCs w:val="24"/>
        </w:rPr>
        <w:t>BioUpper</w:t>
      </w:r>
      <w:proofErr w:type="spellEnd"/>
      <w:r w:rsidRPr="004D4EE2">
        <w:rPr>
          <w:color w:val="1F4F69" w:themeColor="accent1" w:themeShade="80"/>
          <w:sz w:val="24"/>
          <w:szCs w:val="24"/>
        </w:rPr>
        <w:t>,</w:t>
      </w:r>
      <w:r w:rsidR="00372256">
        <w:rPr>
          <w:color w:val="1F4F69" w:themeColor="accent1" w:themeShade="80"/>
          <w:sz w:val="24"/>
          <w:szCs w:val="24"/>
        </w:rPr>
        <w:t xml:space="preserve"> il progetto</w:t>
      </w:r>
      <w:r w:rsidRPr="004D4EE2">
        <w:rPr>
          <w:color w:val="1F4F69" w:themeColor="accent1" w:themeShade="80"/>
          <w:sz w:val="24"/>
          <w:szCs w:val="24"/>
        </w:rPr>
        <w:t xml:space="preserve"> nat</w:t>
      </w:r>
      <w:r w:rsidR="00372256">
        <w:rPr>
          <w:color w:val="1F4F69" w:themeColor="accent1" w:themeShade="80"/>
          <w:sz w:val="24"/>
          <w:szCs w:val="24"/>
        </w:rPr>
        <w:t>o</w:t>
      </w:r>
      <w:r w:rsidRPr="004D4EE2">
        <w:rPr>
          <w:color w:val="1F4F69" w:themeColor="accent1" w:themeShade="80"/>
          <w:sz w:val="24"/>
          <w:szCs w:val="24"/>
        </w:rPr>
        <w:t xml:space="preserve"> dalla partnership tra Novartis e Fondazione Cariplo</w:t>
      </w:r>
      <w:r w:rsidR="0032571F">
        <w:rPr>
          <w:color w:val="1F4F69" w:themeColor="accent1" w:themeShade="80"/>
          <w:sz w:val="24"/>
          <w:szCs w:val="24"/>
        </w:rPr>
        <w:t xml:space="preserve"> </w:t>
      </w:r>
      <w:r w:rsidRPr="004D4EE2">
        <w:rPr>
          <w:color w:val="1F4F69" w:themeColor="accent1" w:themeShade="80"/>
          <w:sz w:val="24"/>
          <w:szCs w:val="24"/>
        </w:rPr>
        <w:t>in collabo</w:t>
      </w:r>
      <w:r w:rsidR="00EB18AA" w:rsidRPr="004D4EE2">
        <w:rPr>
          <w:color w:val="1F4F69" w:themeColor="accent1" w:themeShade="80"/>
          <w:sz w:val="24"/>
          <w:szCs w:val="24"/>
        </w:rPr>
        <w:t xml:space="preserve">razione con </w:t>
      </w:r>
      <w:r w:rsidR="007E26BD">
        <w:rPr>
          <w:color w:val="1F4F69" w:themeColor="accent1" w:themeShade="80"/>
          <w:sz w:val="24"/>
          <w:szCs w:val="24"/>
        </w:rPr>
        <w:t xml:space="preserve">Cariplo </w:t>
      </w:r>
      <w:proofErr w:type="spellStart"/>
      <w:r w:rsidR="007E26BD">
        <w:rPr>
          <w:color w:val="1F4F69" w:themeColor="accent1" w:themeShade="80"/>
          <w:sz w:val="24"/>
          <w:szCs w:val="24"/>
        </w:rPr>
        <w:t>Factory</w:t>
      </w:r>
      <w:proofErr w:type="spellEnd"/>
      <w:r w:rsidR="007E26BD">
        <w:rPr>
          <w:color w:val="1F4F69" w:themeColor="accent1" w:themeShade="80"/>
          <w:sz w:val="24"/>
          <w:szCs w:val="24"/>
        </w:rPr>
        <w:t xml:space="preserve">, che quest’anno vede la partecipazione di un </w:t>
      </w:r>
      <w:r w:rsidR="007E26BD" w:rsidRPr="00C8252E">
        <w:rPr>
          <w:b/>
          <w:color w:val="1F4F69" w:themeColor="accent1" w:themeShade="80"/>
          <w:sz w:val="24"/>
          <w:szCs w:val="24"/>
        </w:rPr>
        <w:t xml:space="preserve">nuovo partner </w:t>
      </w:r>
      <w:bookmarkStart w:id="0" w:name="_GoBack"/>
      <w:bookmarkEnd w:id="0"/>
      <w:r w:rsidR="007E26BD" w:rsidRPr="00C8252E">
        <w:rPr>
          <w:b/>
          <w:color w:val="1F4F69" w:themeColor="accent1" w:themeShade="80"/>
          <w:sz w:val="24"/>
          <w:szCs w:val="24"/>
        </w:rPr>
        <w:t>come IBM.</w:t>
      </w:r>
    </w:p>
    <w:p w:rsidR="00EB18AA" w:rsidRPr="00C8252E" w:rsidRDefault="00EB18AA" w:rsidP="00EB18AA">
      <w:pPr>
        <w:spacing w:after="0" w:line="240" w:lineRule="auto"/>
        <w:jc w:val="both"/>
        <w:rPr>
          <w:b/>
          <w:color w:val="1F4F69" w:themeColor="accent1" w:themeShade="80"/>
          <w:sz w:val="24"/>
          <w:szCs w:val="24"/>
        </w:rPr>
      </w:pPr>
    </w:p>
    <w:p w:rsidR="00AF0098" w:rsidRPr="004D4EE2" w:rsidRDefault="001446F6" w:rsidP="003642E6">
      <w:pPr>
        <w:jc w:val="both"/>
        <w:rPr>
          <w:color w:val="1F4F69" w:themeColor="accent1" w:themeShade="80"/>
          <w:sz w:val="24"/>
          <w:szCs w:val="24"/>
        </w:rPr>
      </w:pPr>
      <w:proofErr w:type="spellStart"/>
      <w:r w:rsidRPr="004D4EE2">
        <w:rPr>
          <w:color w:val="1F4F69" w:themeColor="accent1" w:themeShade="80"/>
          <w:sz w:val="24"/>
          <w:szCs w:val="24"/>
          <w:u w:color="44546A"/>
        </w:rPr>
        <w:t>BioUpper</w:t>
      </w:r>
      <w:proofErr w:type="spellEnd"/>
      <w:r w:rsidRPr="004D4EE2">
        <w:rPr>
          <w:color w:val="1F4F69" w:themeColor="accent1" w:themeShade="80"/>
          <w:sz w:val="24"/>
          <w:szCs w:val="24"/>
          <w:u w:color="44546A"/>
        </w:rPr>
        <w:t xml:space="preserve"> è una </w:t>
      </w:r>
      <w:r w:rsidR="00734CF8" w:rsidRPr="00C8007B">
        <w:rPr>
          <w:b/>
          <w:color w:val="1F4F69" w:themeColor="accent1" w:themeShade="80"/>
          <w:sz w:val="24"/>
          <w:szCs w:val="24"/>
          <w:u w:color="44546A"/>
        </w:rPr>
        <w:t>C</w:t>
      </w:r>
      <w:r w:rsidRPr="00C8007B">
        <w:rPr>
          <w:b/>
          <w:color w:val="1F4F69" w:themeColor="accent1" w:themeShade="80"/>
          <w:sz w:val="24"/>
          <w:szCs w:val="24"/>
          <w:u w:color="44546A"/>
        </w:rPr>
        <w:t xml:space="preserve">all for </w:t>
      </w:r>
      <w:proofErr w:type="spellStart"/>
      <w:r w:rsidR="00734CF8" w:rsidRPr="00C8007B">
        <w:rPr>
          <w:b/>
          <w:color w:val="1F4F69" w:themeColor="accent1" w:themeShade="80"/>
          <w:sz w:val="24"/>
          <w:szCs w:val="24"/>
          <w:u w:color="44546A"/>
        </w:rPr>
        <w:t>I</w:t>
      </w:r>
      <w:r w:rsidRPr="00C8007B">
        <w:rPr>
          <w:b/>
          <w:color w:val="1F4F69" w:themeColor="accent1" w:themeShade="80"/>
          <w:sz w:val="24"/>
          <w:szCs w:val="24"/>
          <w:u w:color="44546A"/>
        </w:rPr>
        <w:t>deas</w:t>
      </w:r>
      <w:proofErr w:type="spellEnd"/>
      <w:r w:rsidRPr="004D4EE2">
        <w:rPr>
          <w:color w:val="1F4F69" w:themeColor="accent1" w:themeShade="80"/>
          <w:sz w:val="24"/>
          <w:szCs w:val="24"/>
          <w:u w:color="44546A"/>
        </w:rPr>
        <w:t xml:space="preserve"> volta a formare e finanziare nuove idee di impresa nel </w:t>
      </w:r>
      <w:r w:rsidR="004D4EE2">
        <w:rPr>
          <w:color w:val="1F4F69" w:themeColor="accent1" w:themeShade="80"/>
          <w:sz w:val="24"/>
          <w:szCs w:val="24"/>
          <w:u w:color="44546A"/>
        </w:rPr>
        <w:t>campo delle scienze della vita</w:t>
      </w:r>
      <w:r w:rsidR="004D4EE2">
        <w:rPr>
          <w:color w:val="1F4F69" w:themeColor="accent1" w:themeShade="80"/>
          <w:sz w:val="24"/>
          <w:szCs w:val="24"/>
        </w:rPr>
        <w:t xml:space="preserve"> aiutando </w:t>
      </w:r>
      <w:r w:rsidRPr="004D4EE2">
        <w:rPr>
          <w:color w:val="1F4F69" w:themeColor="accent1" w:themeShade="80"/>
          <w:sz w:val="24"/>
          <w:szCs w:val="24"/>
        </w:rPr>
        <w:t xml:space="preserve">i giovani </w:t>
      </w:r>
      <w:r w:rsidR="004D4EE2">
        <w:rPr>
          <w:color w:val="1F4F69" w:themeColor="accent1" w:themeShade="80"/>
          <w:sz w:val="24"/>
          <w:szCs w:val="24"/>
        </w:rPr>
        <w:t>talenti</w:t>
      </w:r>
      <w:r w:rsidRPr="004D4EE2">
        <w:rPr>
          <w:color w:val="1F4F69" w:themeColor="accent1" w:themeShade="80"/>
          <w:sz w:val="24"/>
          <w:szCs w:val="24"/>
        </w:rPr>
        <w:t xml:space="preserve"> che parteciperanno al progetto a elaborare, formalizzare e presentare nuove idee di business nei seguenti settori: </w:t>
      </w:r>
    </w:p>
    <w:p w:rsidR="0017257C" w:rsidRPr="0017257C" w:rsidRDefault="0017257C" w:rsidP="0017257C">
      <w:pPr>
        <w:pStyle w:val="Default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</w:p>
    <w:p w:rsidR="0017257C" w:rsidRPr="002339F7" w:rsidRDefault="0017257C" w:rsidP="0017257C">
      <w:pPr>
        <w:pStyle w:val="Default"/>
        <w:rPr>
          <w:rFonts w:ascii="Calibri" w:eastAsia="Calibri" w:hAnsi="Calibri" w:cs="Calibri"/>
          <w:b/>
          <w:color w:val="1F4F69" w:themeColor="accent1" w:themeShade="80"/>
          <w:u w:color="44546A"/>
          <w:lang w:eastAsia="en-US"/>
        </w:rPr>
      </w:pPr>
      <w:r w:rsidRPr="002339F7">
        <w:rPr>
          <w:rFonts w:ascii="Calibri" w:eastAsia="Calibri" w:hAnsi="Calibri" w:cs="Calibri"/>
          <w:b/>
          <w:color w:val="1F4F69" w:themeColor="accent1" w:themeShade="80"/>
          <w:u w:color="44546A"/>
          <w:lang w:eastAsia="en-US"/>
        </w:rPr>
        <w:t>AREA 1 – PATIENT EXPERIENCE &amp; JOURNEY</w:t>
      </w:r>
    </w:p>
    <w:p w:rsidR="0017257C" w:rsidRPr="0017257C" w:rsidRDefault="0017257C" w:rsidP="002339F7">
      <w:pPr>
        <w:pStyle w:val="Default"/>
        <w:numPr>
          <w:ilvl w:val="0"/>
          <w:numId w:val="8"/>
        </w:numPr>
        <w:spacing w:after="66"/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Tool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diagnostici innovativi per la prevenzione, la diagnosi precoce e il point of care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testing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e dispositivi (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wearables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, Internet of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Things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) di auto-diagnosi e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synthom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checker</w:t>
      </w:r>
      <w:proofErr w:type="spellEnd"/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</w:p>
    <w:p w:rsidR="0017257C" w:rsidRPr="0017257C" w:rsidRDefault="0017257C" w:rsidP="002339F7">
      <w:pPr>
        <w:pStyle w:val="Default"/>
        <w:numPr>
          <w:ilvl w:val="0"/>
          <w:numId w:val="8"/>
        </w:numPr>
        <w:spacing w:after="66"/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Piattaforma di ricerca e ottimizzazione dell’offerta dei servizi medici ospedalieri nazionali e regionali, per la standardizzazione e l’efficientamento dei percorsi di cura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</w:p>
    <w:p w:rsidR="0017257C" w:rsidRPr="0017257C" w:rsidRDefault="0017257C" w:rsidP="002339F7">
      <w:pPr>
        <w:pStyle w:val="Default"/>
        <w:numPr>
          <w:ilvl w:val="0"/>
          <w:numId w:val="8"/>
        </w:numPr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Strumenti (APP, piattaforme) di empowerment del paziente in ambito di sperimentazione clinica, orientamento alle terapie, accesso alle alternative di cura e ad altri asset del sistema salute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</w:p>
    <w:p w:rsidR="0017257C" w:rsidRPr="0017257C" w:rsidRDefault="0017257C" w:rsidP="002339F7">
      <w:pPr>
        <w:pStyle w:val="Default"/>
        <w:numPr>
          <w:ilvl w:val="0"/>
          <w:numId w:val="8"/>
        </w:numPr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Tool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tecnologici (hardware e software) per l’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active&amp;healthy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ageing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, home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caring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e altre soluzioni non farmacologiche (i.e. Virtual Reality/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Augmented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Reality,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Nanobot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) per il contrasto delle patologie croniche, neurodegenerative e la gestione del fine vita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.</w:t>
      </w: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</w:t>
      </w:r>
    </w:p>
    <w:p w:rsidR="0017257C" w:rsidRPr="002339F7" w:rsidRDefault="0017257C" w:rsidP="002339F7">
      <w:pPr>
        <w:pStyle w:val="Default"/>
        <w:jc w:val="both"/>
        <w:rPr>
          <w:rFonts w:ascii="Calibri" w:eastAsia="Calibri" w:hAnsi="Calibri" w:cs="Calibri"/>
          <w:b/>
          <w:color w:val="1F4F69" w:themeColor="accent1" w:themeShade="80"/>
          <w:u w:color="44546A"/>
          <w:lang w:eastAsia="en-US"/>
        </w:rPr>
      </w:pPr>
    </w:p>
    <w:p w:rsidR="002339F7" w:rsidRPr="001927FB" w:rsidRDefault="0017257C" w:rsidP="0017257C">
      <w:pPr>
        <w:pStyle w:val="Default"/>
        <w:rPr>
          <w:rFonts w:ascii="Calibri" w:eastAsia="Calibri" w:hAnsi="Calibri" w:cs="Calibri"/>
          <w:b/>
          <w:color w:val="1F4F69" w:themeColor="accent1" w:themeShade="80"/>
          <w:u w:color="44546A"/>
          <w:lang w:val="en-GB" w:eastAsia="en-US"/>
        </w:rPr>
      </w:pPr>
      <w:r w:rsidRPr="001927FB">
        <w:rPr>
          <w:rFonts w:ascii="Calibri" w:eastAsia="Calibri" w:hAnsi="Calibri" w:cs="Calibri"/>
          <w:b/>
          <w:color w:val="1F4F69" w:themeColor="accent1" w:themeShade="80"/>
          <w:u w:color="44546A"/>
          <w:lang w:val="en-GB" w:eastAsia="en-US"/>
        </w:rPr>
        <w:t>AREA 2 – PERSONALIZED HEALTH &amp; MEDICAL INTERNET OF THINGS</w:t>
      </w:r>
    </w:p>
    <w:p w:rsidR="0017257C" w:rsidRPr="0017257C" w:rsidRDefault="0017257C" w:rsidP="002339F7">
      <w:pPr>
        <w:pStyle w:val="Default"/>
        <w:numPr>
          <w:ilvl w:val="0"/>
          <w:numId w:val="9"/>
        </w:numPr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Tecnologie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omiche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innovative per la prevenzione proattiva, per le terapie avanzate personalizzate e per la medicina di genere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</w:p>
    <w:p w:rsidR="0017257C" w:rsidRPr="0017257C" w:rsidRDefault="0017257C" w:rsidP="002339F7">
      <w:pPr>
        <w:pStyle w:val="Default"/>
        <w:numPr>
          <w:ilvl w:val="0"/>
          <w:numId w:val="9"/>
        </w:numPr>
        <w:spacing w:after="63"/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Piattaforme e strumenti (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medical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Internet of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Things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,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Artifi</w:t>
      </w:r>
      <w:r w:rsidR="00417BA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cia</w:t>
      </w: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l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Intelligence e robotica) per la prevenzione, il monitoraggio a domicilio, l’intervento in remoto e la gestione extra-clinica di pazienti cronici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</w:p>
    <w:p w:rsidR="0017257C" w:rsidRPr="0017257C" w:rsidRDefault="0017257C" w:rsidP="002339F7">
      <w:pPr>
        <w:pStyle w:val="Default"/>
        <w:numPr>
          <w:ilvl w:val="0"/>
          <w:numId w:val="9"/>
        </w:numPr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Tecnologie indirizzate a disabilità motorie e mentali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.</w:t>
      </w:r>
    </w:p>
    <w:p w:rsidR="0017257C" w:rsidRPr="0017257C" w:rsidRDefault="0017257C" w:rsidP="0017257C">
      <w:pPr>
        <w:pStyle w:val="Default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</w:p>
    <w:p w:rsidR="0017257C" w:rsidRPr="002339F7" w:rsidRDefault="0017257C" w:rsidP="0017257C">
      <w:pPr>
        <w:pStyle w:val="Default"/>
        <w:rPr>
          <w:rFonts w:ascii="Calibri" w:eastAsia="Calibri" w:hAnsi="Calibri" w:cs="Calibri"/>
          <w:b/>
          <w:color w:val="1F4F69" w:themeColor="accent1" w:themeShade="80"/>
          <w:u w:color="44546A"/>
          <w:lang w:eastAsia="en-US"/>
        </w:rPr>
      </w:pPr>
      <w:r w:rsidRPr="002339F7">
        <w:rPr>
          <w:rFonts w:ascii="Calibri" w:eastAsia="Calibri" w:hAnsi="Calibri" w:cs="Calibri"/>
          <w:b/>
          <w:color w:val="1F4F69" w:themeColor="accent1" w:themeShade="80"/>
          <w:u w:color="44546A"/>
          <w:lang w:eastAsia="en-US"/>
        </w:rPr>
        <w:t>AREA 3 – HEALTH DATA &amp; ANALYTICS</w:t>
      </w:r>
    </w:p>
    <w:p w:rsidR="0017257C" w:rsidRPr="0017257C" w:rsidRDefault="0017257C" w:rsidP="002339F7">
      <w:pPr>
        <w:pStyle w:val="Default"/>
        <w:numPr>
          <w:ilvl w:val="0"/>
          <w:numId w:val="10"/>
        </w:numPr>
        <w:spacing w:after="65"/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Tool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bioinformatici e software di data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collection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,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integration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&amp;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analysis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a supporto della medicina personalizzata e di precisione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</w:p>
    <w:p w:rsidR="0017257C" w:rsidRPr="0017257C" w:rsidRDefault="0017257C" w:rsidP="002339F7">
      <w:pPr>
        <w:pStyle w:val="Default"/>
        <w:numPr>
          <w:ilvl w:val="0"/>
          <w:numId w:val="10"/>
        </w:numPr>
        <w:spacing w:after="65"/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Strumenti (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Artificial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Intelligence/Machine Learning/Chat Bot) per migliorare la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predittività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dei dati sanitari, l’oggettività delle diagnosi e di supporto al processo decisionale clinico ed extra-clinico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</w:t>
      </w:r>
    </w:p>
    <w:p w:rsidR="0017257C" w:rsidRPr="0017257C" w:rsidRDefault="0017257C" w:rsidP="002339F7">
      <w:pPr>
        <w:pStyle w:val="Default"/>
        <w:numPr>
          <w:ilvl w:val="0"/>
          <w:numId w:val="10"/>
        </w:numPr>
        <w:spacing w:after="65"/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Strumenti per la raccolta, la certificazione (i.e.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blockchain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) e la sicurezza dei dati clinici e sanitari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;</w:t>
      </w: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</w:t>
      </w:r>
    </w:p>
    <w:p w:rsidR="0017257C" w:rsidRPr="0017257C" w:rsidRDefault="0017257C" w:rsidP="002339F7">
      <w:pPr>
        <w:pStyle w:val="Default"/>
        <w:numPr>
          <w:ilvl w:val="0"/>
          <w:numId w:val="10"/>
        </w:numPr>
        <w:jc w:val="both"/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</w:pPr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Software analitici in grado di processare elevate quantità di informazioni per la previsione dei trend e degli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unmet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</w:t>
      </w:r>
      <w:proofErr w:type="spellStart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needs</w:t>
      </w:r>
      <w:proofErr w:type="spellEnd"/>
      <w:r w:rsidRPr="0017257C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 xml:space="preserve"> dei pazienti</w:t>
      </w:r>
      <w:r w:rsidR="002339F7">
        <w:rPr>
          <w:rFonts w:ascii="Calibri" w:eastAsia="Calibri" w:hAnsi="Calibri" w:cs="Calibri"/>
          <w:color w:val="1F4F69" w:themeColor="accent1" w:themeShade="80"/>
          <w:u w:color="44546A"/>
          <w:lang w:eastAsia="en-US"/>
        </w:rPr>
        <w:t>.</w:t>
      </w:r>
    </w:p>
    <w:p w:rsidR="007E26BD" w:rsidRPr="004D4EE2" w:rsidRDefault="007E26BD" w:rsidP="007E26BD">
      <w:pPr>
        <w:spacing w:after="0" w:line="240" w:lineRule="auto"/>
        <w:rPr>
          <w:rFonts w:eastAsia="Arial" w:cs="Arial"/>
          <w:color w:val="1F4F69" w:themeColor="accent1" w:themeShade="80"/>
          <w:sz w:val="24"/>
          <w:szCs w:val="24"/>
        </w:rPr>
      </w:pPr>
    </w:p>
    <w:p w:rsidR="00AF0098" w:rsidRPr="004D4EE2" w:rsidRDefault="001446F6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D4EE2">
        <w:rPr>
          <w:color w:val="1F4F69" w:themeColor="accent1" w:themeShade="80"/>
          <w:sz w:val="24"/>
          <w:szCs w:val="24"/>
        </w:rPr>
        <w:t>Le migliori idee verranno accompagnate in un percorso strutturato di formazione imprenditoriale personalizzato</w:t>
      </w:r>
      <w:r w:rsidR="00B62334">
        <w:rPr>
          <w:color w:val="1F4F69" w:themeColor="accent1" w:themeShade="80"/>
          <w:sz w:val="24"/>
          <w:szCs w:val="24"/>
        </w:rPr>
        <w:t xml:space="preserve"> che fornirà </w:t>
      </w:r>
      <w:r w:rsidRPr="004D4EE2">
        <w:rPr>
          <w:color w:val="1F4F69" w:themeColor="accent1" w:themeShade="80"/>
          <w:sz w:val="24"/>
          <w:szCs w:val="24"/>
        </w:rPr>
        <w:t>ai candidati un accesso agevolato a risorse, strutture e relazioni dell’ecosistema medico scientifico.</w:t>
      </w:r>
    </w:p>
    <w:p w:rsidR="00AF0098" w:rsidRPr="004D4EE2" w:rsidRDefault="00AF0098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</w:p>
    <w:p w:rsidR="00CA4424" w:rsidRDefault="00CA4424">
      <w:pPr>
        <w:spacing w:after="0" w:line="240" w:lineRule="auto"/>
        <w:jc w:val="both"/>
        <w:rPr>
          <w:b/>
          <w:color w:val="1F4F69" w:themeColor="accent1" w:themeShade="80"/>
          <w:sz w:val="24"/>
          <w:szCs w:val="24"/>
        </w:rPr>
      </w:pPr>
    </w:p>
    <w:p w:rsidR="00EB18AA" w:rsidRPr="004D4EE2" w:rsidRDefault="00EB18AA">
      <w:pPr>
        <w:spacing w:after="0" w:line="240" w:lineRule="auto"/>
        <w:jc w:val="both"/>
        <w:rPr>
          <w:b/>
          <w:color w:val="1F4F69" w:themeColor="accent1" w:themeShade="80"/>
          <w:sz w:val="24"/>
          <w:szCs w:val="24"/>
        </w:rPr>
      </w:pPr>
      <w:r w:rsidRPr="004D4EE2">
        <w:rPr>
          <w:b/>
          <w:color w:val="1F4F69" w:themeColor="accent1" w:themeShade="80"/>
          <w:sz w:val="24"/>
          <w:szCs w:val="24"/>
        </w:rPr>
        <w:lastRenderedPageBreak/>
        <w:t>Come partecipare?</w:t>
      </w:r>
    </w:p>
    <w:p w:rsidR="00AF0098" w:rsidRPr="004D4EE2" w:rsidRDefault="001446F6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D4EE2">
        <w:rPr>
          <w:color w:val="1F4F69" w:themeColor="accent1" w:themeShade="80"/>
          <w:sz w:val="24"/>
          <w:szCs w:val="24"/>
        </w:rPr>
        <w:t xml:space="preserve">Fino al </w:t>
      </w:r>
      <w:r w:rsidR="007E26BD">
        <w:rPr>
          <w:color w:val="1F4F69" w:themeColor="accent1" w:themeShade="80"/>
          <w:sz w:val="24"/>
          <w:szCs w:val="24"/>
        </w:rPr>
        <w:t>5 giugno</w:t>
      </w:r>
      <w:r w:rsidRPr="004D4EE2">
        <w:rPr>
          <w:color w:val="1F4F69" w:themeColor="accent1" w:themeShade="80"/>
          <w:sz w:val="24"/>
          <w:szCs w:val="24"/>
        </w:rPr>
        <w:t xml:space="preserve">, sul sito </w:t>
      </w:r>
      <w:r w:rsidRPr="004D4EE2">
        <w:rPr>
          <w:b/>
          <w:color w:val="1F4F69" w:themeColor="accent1" w:themeShade="80"/>
          <w:sz w:val="24"/>
          <w:szCs w:val="24"/>
        </w:rPr>
        <w:t>www.bioupper.com</w:t>
      </w:r>
      <w:r w:rsidRPr="004D4EE2">
        <w:rPr>
          <w:color w:val="1F4F69" w:themeColor="accent1" w:themeShade="80"/>
          <w:sz w:val="24"/>
          <w:szCs w:val="24"/>
        </w:rPr>
        <w:t>, sarà aperto il bando per candidare il proprio progetto</w:t>
      </w:r>
      <w:r w:rsidR="003642E6">
        <w:rPr>
          <w:color w:val="1F4F69" w:themeColor="accent1" w:themeShade="80"/>
          <w:sz w:val="24"/>
          <w:szCs w:val="24"/>
        </w:rPr>
        <w:t>.</w:t>
      </w:r>
      <w:r w:rsidRPr="004D4EE2">
        <w:rPr>
          <w:color w:val="1F4F69" w:themeColor="accent1" w:themeShade="80"/>
          <w:sz w:val="24"/>
          <w:szCs w:val="24"/>
        </w:rPr>
        <w:t xml:space="preserve"> </w:t>
      </w:r>
    </w:p>
    <w:p w:rsidR="00AF0098" w:rsidRPr="004D4EE2" w:rsidRDefault="00AF0098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</w:p>
    <w:p w:rsidR="00EB18AA" w:rsidRPr="004D4EE2" w:rsidRDefault="00EB18AA">
      <w:pPr>
        <w:spacing w:after="0" w:line="240" w:lineRule="auto"/>
        <w:jc w:val="both"/>
        <w:rPr>
          <w:b/>
          <w:color w:val="1F4F69" w:themeColor="accent1" w:themeShade="80"/>
          <w:sz w:val="24"/>
          <w:szCs w:val="24"/>
        </w:rPr>
      </w:pPr>
      <w:r w:rsidRPr="004D4EE2">
        <w:rPr>
          <w:b/>
          <w:color w:val="1F4F69" w:themeColor="accent1" w:themeShade="80"/>
          <w:sz w:val="24"/>
          <w:szCs w:val="24"/>
        </w:rPr>
        <w:t xml:space="preserve">Selezione e </w:t>
      </w:r>
      <w:r w:rsidR="004D4EE2">
        <w:rPr>
          <w:b/>
          <w:color w:val="1F4F69" w:themeColor="accent1" w:themeShade="80"/>
          <w:sz w:val="24"/>
          <w:szCs w:val="24"/>
        </w:rPr>
        <w:t>programma</w:t>
      </w:r>
    </w:p>
    <w:p w:rsidR="00E35B90" w:rsidRDefault="00734CF8" w:rsidP="000C180F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5626B">
        <w:rPr>
          <w:color w:val="1F4F69" w:themeColor="accent1" w:themeShade="80"/>
          <w:sz w:val="24"/>
          <w:szCs w:val="24"/>
        </w:rPr>
        <w:t>Dopo la chiusura del bando l</w:t>
      </w:r>
      <w:r w:rsidR="001446F6" w:rsidRPr="0045626B">
        <w:rPr>
          <w:color w:val="1F4F69" w:themeColor="accent1" w:themeShade="80"/>
          <w:sz w:val="24"/>
          <w:szCs w:val="24"/>
        </w:rPr>
        <w:t>a giuria</w:t>
      </w:r>
      <w:r w:rsidR="00E7327B" w:rsidRPr="0045626B">
        <w:rPr>
          <w:color w:val="1F4F69" w:themeColor="accent1" w:themeShade="80"/>
          <w:sz w:val="24"/>
          <w:szCs w:val="24"/>
        </w:rPr>
        <w:t>, a valle di un attento processo di screening,</w:t>
      </w:r>
      <w:r w:rsidR="001446F6" w:rsidRPr="0045626B">
        <w:rPr>
          <w:color w:val="1F4F69" w:themeColor="accent1" w:themeShade="80"/>
          <w:sz w:val="24"/>
          <w:szCs w:val="24"/>
        </w:rPr>
        <w:t xml:space="preserve"> selezionerà</w:t>
      </w:r>
      <w:r w:rsidR="00EB18AA" w:rsidRPr="0045626B">
        <w:rPr>
          <w:color w:val="1F4F69" w:themeColor="accent1" w:themeShade="80"/>
          <w:sz w:val="24"/>
          <w:szCs w:val="24"/>
        </w:rPr>
        <w:t xml:space="preserve"> i venti migliori team che accederanno </w:t>
      </w:r>
      <w:r w:rsidR="00CC377D" w:rsidRPr="0045626B">
        <w:rPr>
          <w:color w:val="1F4F69" w:themeColor="accent1" w:themeShade="80"/>
          <w:sz w:val="24"/>
          <w:szCs w:val="24"/>
        </w:rPr>
        <w:t>al “</w:t>
      </w:r>
      <w:proofErr w:type="spellStart"/>
      <w:r w:rsidR="00CC377D" w:rsidRPr="00CA4424">
        <w:rPr>
          <w:b/>
          <w:color w:val="1F4F69" w:themeColor="accent1" w:themeShade="80"/>
          <w:sz w:val="24"/>
          <w:szCs w:val="24"/>
        </w:rPr>
        <w:t>Selection</w:t>
      </w:r>
      <w:proofErr w:type="spellEnd"/>
      <w:r w:rsidR="00CC377D" w:rsidRPr="00CA4424">
        <w:rPr>
          <w:b/>
          <w:color w:val="1F4F69" w:themeColor="accent1" w:themeShade="80"/>
          <w:sz w:val="24"/>
          <w:szCs w:val="24"/>
        </w:rPr>
        <w:t xml:space="preserve"> Day</w:t>
      </w:r>
      <w:r w:rsidR="00CC377D" w:rsidRPr="0045626B">
        <w:rPr>
          <w:color w:val="1F4F69" w:themeColor="accent1" w:themeShade="80"/>
          <w:sz w:val="24"/>
          <w:szCs w:val="24"/>
        </w:rPr>
        <w:t>”, che si terrà a Milano nel mese di luglio</w:t>
      </w:r>
      <w:r w:rsidR="00A37824" w:rsidRPr="0045626B">
        <w:rPr>
          <w:color w:val="1F4F69" w:themeColor="accent1" w:themeShade="80"/>
          <w:sz w:val="24"/>
          <w:szCs w:val="24"/>
        </w:rPr>
        <w:t>. Nel corso di questo evento</w:t>
      </w:r>
      <w:r w:rsidR="00CC377D" w:rsidRPr="0045626B">
        <w:rPr>
          <w:color w:val="1F4F69" w:themeColor="accent1" w:themeShade="80"/>
          <w:sz w:val="24"/>
          <w:szCs w:val="24"/>
        </w:rPr>
        <w:t xml:space="preserve"> le venti start up selezionate avranno l’opportunità di presentare il proprio progetto davanti alla giuria.</w:t>
      </w:r>
    </w:p>
    <w:p w:rsidR="00E35B90" w:rsidRDefault="00E35B90" w:rsidP="000C180F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</w:p>
    <w:p w:rsidR="000C180F" w:rsidRDefault="009E0CD2" w:rsidP="000C180F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5626B">
        <w:rPr>
          <w:color w:val="1F4F69" w:themeColor="accent1" w:themeShade="80"/>
          <w:sz w:val="24"/>
          <w:szCs w:val="24"/>
        </w:rPr>
        <w:t>Il “</w:t>
      </w:r>
      <w:proofErr w:type="spellStart"/>
      <w:r w:rsidRPr="0045626B">
        <w:rPr>
          <w:color w:val="1F4F69" w:themeColor="accent1" w:themeShade="80"/>
          <w:sz w:val="24"/>
          <w:szCs w:val="24"/>
        </w:rPr>
        <w:t>Selection</w:t>
      </w:r>
      <w:proofErr w:type="spellEnd"/>
      <w:r w:rsidRPr="0045626B">
        <w:rPr>
          <w:color w:val="1F4F69" w:themeColor="accent1" w:themeShade="80"/>
          <w:sz w:val="24"/>
          <w:szCs w:val="24"/>
        </w:rPr>
        <w:t xml:space="preserve"> Day” porterà alla selezione dei</w:t>
      </w:r>
      <w:r w:rsidR="001446F6" w:rsidRPr="0045626B">
        <w:rPr>
          <w:color w:val="1F4F69" w:themeColor="accent1" w:themeShade="80"/>
          <w:sz w:val="24"/>
          <w:szCs w:val="24"/>
        </w:rPr>
        <w:t xml:space="preserve"> dieci </w:t>
      </w:r>
      <w:r w:rsidRPr="0045626B">
        <w:rPr>
          <w:color w:val="1F4F69" w:themeColor="accent1" w:themeShade="80"/>
          <w:sz w:val="24"/>
          <w:szCs w:val="24"/>
        </w:rPr>
        <w:t xml:space="preserve">migliori </w:t>
      </w:r>
      <w:r w:rsidR="001446F6" w:rsidRPr="0045626B">
        <w:rPr>
          <w:color w:val="1F4F69" w:themeColor="accent1" w:themeShade="80"/>
          <w:sz w:val="24"/>
          <w:szCs w:val="24"/>
        </w:rPr>
        <w:t xml:space="preserve">progetti che </w:t>
      </w:r>
      <w:r w:rsidR="00E7327B" w:rsidRPr="0045626B">
        <w:rPr>
          <w:color w:val="1F4F69" w:themeColor="accent1" w:themeShade="80"/>
          <w:sz w:val="24"/>
          <w:szCs w:val="24"/>
        </w:rPr>
        <w:t>avranno accesso</w:t>
      </w:r>
      <w:r w:rsidR="001446F6" w:rsidRPr="0045626B">
        <w:rPr>
          <w:color w:val="1F4F69" w:themeColor="accent1" w:themeShade="80"/>
          <w:sz w:val="24"/>
          <w:szCs w:val="24"/>
        </w:rPr>
        <w:t xml:space="preserve"> </w:t>
      </w:r>
      <w:r w:rsidR="00E7327B" w:rsidRPr="0045626B">
        <w:rPr>
          <w:color w:val="1F4F69" w:themeColor="accent1" w:themeShade="80"/>
          <w:sz w:val="24"/>
          <w:szCs w:val="24"/>
        </w:rPr>
        <w:t xml:space="preserve">alla </w:t>
      </w:r>
      <w:r w:rsidR="001446F6" w:rsidRPr="0045626B">
        <w:rPr>
          <w:color w:val="1F4F69" w:themeColor="accent1" w:themeShade="80"/>
          <w:sz w:val="24"/>
          <w:szCs w:val="24"/>
        </w:rPr>
        <w:t xml:space="preserve">fase di accelerazione, di </w:t>
      </w:r>
      <w:r w:rsidRPr="0045626B">
        <w:rPr>
          <w:color w:val="1F4F69" w:themeColor="accent1" w:themeShade="80"/>
          <w:sz w:val="24"/>
          <w:szCs w:val="24"/>
        </w:rPr>
        <w:t xml:space="preserve">circa 12 </w:t>
      </w:r>
      <w:r w:rsidR="00CE138D" w:rsidRPr="0045626B">
        <w:rPr>
          <w:color w:val="1F4F69" w:themeColor="accent1" w:themeShade="80"/>
          <w:sz w:val="24"/>
          <w:szCs w:val="24"/>
        </w:rPr>
        <w:t>settimane</w:t>
      </w:r>
      <w:r w:rsidR="00E7327B" w:rsidRPr="0045626B">
        <w:rPr>
          <w:color w:val="1F4F69" w:themeColor="accent1" w:themeShade="80"/>
          <w:sz w:val="24"/>
          <w:szCs w:val="24"/>
        </w:rPr>
        <w:t>, che coinvolgerà un’ampia rete di incubatori e acceleratori sparsi sul territorio</w:t>
      </w:r>
      <w:r w:rsidR="000C180F" w:rsidRPr="0045626B">
        <w:rPr>
          <w:color w:val="1F4F69" w:themeColor="accent1" w:themeShade="80"/>
          <w:sz w:val="24"/>
          <w:szCs w:val="24"/>
        </w:rPr>
        <w:t xml:space="preserve"> (in particolare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PoliHub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, Fondazione Filarete,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BioIndustry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 Park, PTP – Science Park, I3P, Fondazione Toscana Life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Sciences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,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dPixel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 a Bologna,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Jcube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, LUISS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EnLabs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, Digital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Magics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, Campania </w:t>
      </w:r>
      <w:proofErr w:type="spellStart"/>
      <w:r w:rsidR="000C180F" w:rsidRPr="0045626B">
        <w:rPr>
          <w:color w:val="1F4F69" w:themeColor="accent1" w:themeShade="80"/>
          <w:sz w:val="24"/>
          <w:szCs w:val="24"/>
        </w:rPr>
        <w:t>NewSteel</w:t>
      </w:r>
      <w:proofErr w:type="spellEnd"/>
      <w:r w:rsidR="000C180F" w:rsidRPr="0045626B">
        <w:rPr>
          <w:color w:val="1F4F69" w:themeColor="accent1" w:themeShade="80"/>
          <w:sz w:val="24"/>
          <w:szCs w:val="24"/>
        </w:rPr>
        <w:t xml:space="preserve"> e Consorzio ARCA)</w:t>
      </w:r>
      <w:r w:rsidR="00EB28F3" w:rsidRPr="0045626B">
        <w:rPr>
          <w:color w:val="1F4F69" w:themeColor="accent1" w:themeShade="80"/>
          <w:sz w:val="24"/>
          <w:szCs w:val="24"/>
        </w:rPr>
        <w:t>.</w:t>
      </w:r>
    </w:p>
    <w:p w:rsidR="00E35B90" w:rsidRPr="0045626B" w:rsidRDefault="00E35B90" w:rsidP="000C180F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</w:p>
    <w:p w:rsidR="00AF0098" w:rsidRPr="0045626B" w:rsidRDefault="00EB28F3" w:rsidP="000C180F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5626B">
        <w:rPr>
          <w:color w:val="1F4F69" w:themeColor="accent1" w:themeShade="80"/>
          <w:sz w:val="24"/>
          <w:szCs w:val="24"/>
        </w:rPr>
        <w:t>A</w:t>
      </w:r>
      <w:r w:rsidR="001446F6" w:rsidRPr="0045626B">
        <w:rPr>
          <w:color w:val="1F4F69" w:themeColor="accent1" w:themeShade="80"/>
          <w:sz w:val="24"/>
          <w:szCs w:val="24"/>
        </w:rPr>
        <w:t xml:space="preserve">l termine </w:t>
      </w:r>
      <w:r w:rsidRPr="0045626B">
        <w:rPr>
          <w:color w:val="1F4F69" w:themeColor="accent1" w:themeShade="80"/>
          <w:sz w:val="24"/>
          <w:szCs w:val="24"/>
        </w:rPr>
        <w:t xml:space="preserve">del programma di accelerazione </w:t>
      </w:r>
      <w:r w:rsidR="001446F6" w:rsidRPr="0045626B">
        <w:rPr>
          <w:color w:val="1F4F69" w:themeColor="accent1" w:themeShade="80"/>
          <w:sz w:val="24"/>
          <w:szCs w:val="24"/>
        </w:rPr>
        <w:t>ciascun team sarà chiamato a presentare i risultati raggiunti</w:t>
      </w:r>
      <w:r w:rsidR="009E0CD2" w:rsidRPr="0045626B">
        <w:rPr>
          <w:color w:val="1F4F69" w:themeColor="accent1" w:themeShade="80"/>
          <w:sz w:val="24"/>
          <w:szCs w:val="24"/>
        </w:rPr>
        <w:t xml:space="preserve"> </w:t>
      </w:r>
      <w:r w:rsidR="00147893">
        <w:rPr>
          <w:color w:val="1F4F69" w:themeColor="accent1" w:themeShade="80"/>
          <w:sz w:val="24"/>
          <w:szCs w:val="24"/>
        </w:rPr>
        <w:t>all’evento</w:t>
      </w:r>
      <w:r w:rsidR="00734CF8" w:rsidRPr="0045626B">
        <w:rPr>
          <w:color w:val="1F4F69" w:themeColor="accent1" w:themeShade="80"/>
          <w:sz w:val="24"/>
          <w:szCs w:val="24"/>
        </w:rPr>
        <w:t xml:space="preserve"> di</w:t>
      </w:r>
      <w:r w:rsidR="009E0CD2" w:rsidRPr="0045626B">
        <w:rPr>
          <w:color w:val="1F4F69" w:themeColor="accent1" w:themeShade="80"/>
          <w:sz w:val="24"/>
          <w:szCs w:val="24"/>
        </w:rPr>
        <w:t xml:space="preserve"> selezione finale</w:t>
      </w:r>
      <w:r w:rsidRPr="0045626B">
        <w:rPr>
          <w:color w:val="1F4F69" w:themeColor="accent1" w:themeShade="80"/>
          <w:sz w:val="24"/>
          <w:szCs w:val="24"/>
        </w:rPr>
        <w:t xml:space="preserve"> che </w:t>
      </w:r>
      <w:r w:rsidR="006E174B" w:rsidRPr="0045626B">
        <w:rPr>
          <w:color w:val="1F4F69" w:themeColor="accent1" w:themeShade="80"/>
          <w:sz w:val="24"/>
          <w:szCs w:val="24"/>
        </w:rPr>
        <w:t>avrà luogo</w:t>
      </w:r>
      <w:r w:rsidRPr="0045626B">
        <w:rPr>
          <w:color w:val="1F4F69" w:themeColor="accent1" w:themeShade="80"/>
          <w:sz w:val="24"/>
          <w:szCs w:val="24"/>
        </w:rPr>
        <w:t xml:space="preserve"> nel mese di dicembre</w:t>
      </w:r>
      <w:r w:rsidR="001446F6" w:rsidRPr="0045626B">
        <w:rPr>
          <w:color w:val="1F4F69" w:themeColor="accent1" w:themeShade="80"/>
          <w:sz w:val="24"/>
          <w:szCs w:val="24"/>
        </w:rPr>
        <w:t xml:space="preserve">. </w:t>
      </w:r>
    </w:p>
    <w:p w:rsidR="00AF0098" w:rsidRPr="004D4EE2" w:rsidRDefault="00AF0098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</w:p>
    <w:p w:rsidR="00EB18AA" w:rsidRPr="004D4EE2" w:rsidRDefault="00EB18AA">
      <w:pPr>
        <w:spacing w:after="0" w:line="240" w:lineRule="auto"/>
        <w:jc w:val="both"/>
        <w:rPr>
          <w:b/>
          <w:color w:val="1F4F69" w:themeColor="accent1" w:themeShade="80"/>
          <w:sz w:val="24"/>
          <w:szCs w:val="24"/>
        </w:rPr>
      </w:pPr>
      <w:r w:rsidRPr="004D4EE2">
        <w:rPr>
          <w:b/>
          <w:color w:val="1F4F69" w:themeColor="accent1" w:themeShade="80"/>
          <w:sz w:val="24"/>
          <w:szCs w:val="24"/>
        </w:rPr>
        <w:t>Premi</w:t>
      </w:r>
    </w:p>
    <w:p w:rsidR="00AF0098" w:rsidRPr="00783A58" w:rsidRDefault="00783A58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783A58">
        <w:rPr>
          <w:color w:val="1F4F69" w:themeColor="accent1" w:themeShade="80"/>
          <w:sz w:val="24"/>
          <w:szCs w:val="24"/>
        </w:rPr>
        <w:t xml:space="preserve">I tre progetti vincitori della Call for </w:t>
      </w:r>
      <w:proofErr w:type="spellStart"/>
      <w:r w:rsidRPr="00783A58">
        <w:rPr>
          <w:color w:val="1F4F69" w:themeColor="accent1" w:themeShade="80"/>
          <w:sz w:val="24"/>
          <w:szCs w:val="24"/>
        </w:rPr>
        <w:t>Ideas</w:t>
      </w:r>
      <w:proofErr w:type="spellEnd"/>
      <w:r w:rsidRPr="00783A58">
        <w:rPr>
          <w:color w:val="1F4F69" w:themeColor="accent1" w:themeShade="80"/>
          <w:sz w:val="24"/>
          <w:szCs w:val="24"/>
        </w:rPr>
        <w:t xml:space="preserve"> riceveranno </w:t>
      </w:r>
      <w:r w:rsidR="00F31384">
        <w:rPr>
          <w:color w:val="1F4F69" w:themeColor="accent1" w:themeShade="80"/>
          <w:sz w:val="24"/>
          <w:szCs w:val="24"/>
        </w:rPr>
        <w:t xml:space="preserve">ciascuno </w:t>
      </w:r>
      <w:r w:rsidRPr="00783A58">
        <w:rPr>
          <w:color w:val="1F4F69" w:themeColor="accent1" w:themeShade="80"/>
          <w:sz w:val="24"/>
          <w:szCs w:val="24"/>
        </w:rPr>
        <w:t xml:space="preserve">un premio </w:t>
      </w:r>
      <w:r w:rsidR="00856D85">
        <w:rPr>
          <w:color w:val="1F4F69" w:themeColor="accent1" w:themeShade="80"/>
          <w:sz w:val="24"/>
          <w:szCs w:val="24"/>
        </w:rPr>
        <w:t>di</w:t>
      </w:r>
      <w:r w:rsidRPr="00783A58">
        <w:rPr>
          <w:color w:val="1F4F69" w:themeColor="accent1" w:themeShade="80"/>
          <w:sz w:val="24"/>
          <w:szCs w:val="24"/>
        </w:rPr>
        <w:t xml:space="preserve"> </w:t>
      </w:r>
      <w:r w:rsidR="001927FB">
        <w:rPr>
          <w:b/>
          <w:color w:val="1F4F69" w:themeColor="accent1" w:themeShade="80"/>
          <w:sz w:val="24"/>
          <w:szCs w:val="24"/>
        </w:rPr>
        <w:t>180</w:t>
      </w:r>
      <w:r w:rsidRPr="00D16A88">
        <w:rPr>
          <w:b/>
          <w:color w:val="1F4F69" w:themeColor="accent1" w:themeShade="80"/>
          <w:sz w:val="24"/>
          <w:szCs w:val="24"/>
        </w:rPr>
        <w:t>mila euro</w:t>
      </w:r>
      <w:r w:rsidRPr="00D16A8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D16A88">
        <w:rPr>
          <w:b/>
          <w:color w:val="1F4F69" w:themeColor="accent1" w:themeShade="80"/>
          <w:sz w:val="24"/>
          <w:szCs w:val="24"/>
        </w:rPr>
        <w:t>in servizi</w:t>
      </w:r>
      <w:r w:rsidR="00F31384"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r w:rsidRPr="00783A58">
        <w:rPr>
          <w:color w:val="1F4F69" w:themeColor="accent1" w:themeShade="80"/>
          <w:sz w:val="24"/>
          <w:szCs w:val="24"/>
        </w:rPr>
        <w:t xml:space="preserve">per un totale di </w:t>
      </w:r>
      <w:r w:rsidR="001927FB">
        <w:rPr>
          <w:color w:val="1F4F69" w:themeColor="accent1" w:themeShade="80"/>
          <w:sz w:val="24"/>
          <w:szCs w:val="24"/>
        </w:rPr>
        <w:t>540</w:t>
      </w:r>
      <w:r w:rsidRPr="00783A58">
        <w:rPr>
          <w:color w:val="1F4F69" w:themeColor="accent1" w:themeShade="80"/>
          <w:sz w:val="24"/>
          <w:szCs w:val="24"/>
        </w:rPr>
        <w:t>mila euro, da investire per lo sviluppo del progetto sul mercato. </w:t>
      </w:r>
    </w:p>
    <w:p w:rsidR="00AF0098" w:rsidRPr="004D4EE2" w:rsidRDefault="001446F6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D4EE2">
        <w:rPr>
          <w:color w:val="1F4F69" w:themeColor="accent1" w:themeShade="80"/>
          <w:sz w:val="24"/>
          <w:szCs w:val="24"/>
        </w:rPr>
        <w:t xml:space="preserve">In allegato il regolamento per poter partecipare a </w:t>
      </w:r>
      <w:proofErr w:type="spellStart"/>
      <w:r w:rsidRPr="004D4EE2">
        <w:rPr>
          <w:color w:val="1F4F69" w:themeColor="accent1" w:themeShade="80"/>
          <w:sz w:val="24"/>
          <w:szCs w:val="24"/>
        </w:rPr>
        <w:t>BioUpper</w:t>
      </w:r>
      <w:proofErr w:type="spellEnd"/>
      <w:r w:rsidRPr="004D4EE2">
        <w:rPr>
          <w:color w:val="1F4F69" w:themeColor="accent1" w:themeShade="80"/>
          <w:sz w:val="24"/>
          <w:szCs w:val="24"/>
        </w:rPr>
        <w:t>, dove sono contenute tutte le informazioni necessarie.</w:t>
      </w:r>
    </w:p>
    <w:p w:rsidR="00AF0098" w:rsidRPr="004D4EE2" w:rsidRDefault="00AF0098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</w:p>
    <w:p w:rsidR="004D4EE2" w:rsidRPr="004D4EE2" w:rsidRDefault="001446F6" w:rsidP="007A5132">
      <w:pPr>
        <w:spacing w:after="0" w:line="240" w:lineRule="auto"/>
        <w:jc w:val="both"/>
        <w:rPr>
          <w:color w:val="1F4F69" w:themeColor="accent1" w:themeShade="80"/>
          <w:sz w:val="24"/>
          <w:szCs w:val="24"/>
        </w:rPr>
      </w:pPr>
      <w:r w:rsidRPr="004D4EE2">
        <w:rPr>
          <w:color w:val="1F4F69" w:themeColor="accent1" w:themeShade="80"/>
          <w:sz w:val="24"/>
          <w:szCs w:val="24"/>
        </w:rPr>
        <w:t>Grazie per</w:t>
      </w:r>
      <w:r w:rsidR="007A5132">
        <w:rPr>
          <w:color w:val="1F4F69" w:themeColor="accent1" w:themeShade="80"/>
          <w:sz w:val="24"/>
          <w:szCs w:val="24"/>
        </w:rPr>
        <w:t xml:space="preserve"> l’attenzione e cordiali saluti</w:t>
      </w:r>
    </w:p>
    <w:sectPr w:rsidR="004D4EE2" w:rsidRPr="004D4EE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A9" w:rsidRDefault="00A84DA9">
      <w:pPr>
        <w:spacing w:after="0" w:line="240" w:lineRule="auto"/>
      </w:pPr>
      <w:r>
        <w:separator/>
      </w:r>
    </w:p>
  </w:endnote>
  <w:endnote w:type="continuationSeparator" w:id="0">
    <w:p w:rsidR="00A84DA9" w:rsidRDefault="00A8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98" w:rsidRDefault="00AF009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A9" w:rsidRDefault="00A84DA9">
      <w:pPr>
        <w:spacing w:after="0" w:line="240" w:lineRule="auto"/>
      </w:pPr>
      <w:r>
        <w:separator/>
      </w:r>
    </w:p>
  </w:footnote>
  <w:footnote w:type="continuationSeparator" w:id="0">
    <w:p w:rsidR="00A84DA9" w:rsidRDefault="00A8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98" w:rsidRDefault="00AF009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190"/>
    <w:multiLevelType w:val="hybridMultilevel"/>
    <w:tmpl w:val="858A7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41A8"/>
    <w:multiLevelType w:val="multilevel"/>
    <w:tmpl w:val="39525D0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1C412A9E"/>
    <w:multiLevelType w:val="multilevel"/>
    <w:tmpl w:val="7AEE6F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22582FA7"/>
    <w:multiLevelType w:val="hybridMultilevel"/>
    <w:tmpl w:val="ADD2E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1C5C"/>
    <w:multiLevelType w:val="hybridMultilevel"/>
    <w:tmpl w:val="5004F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80215"/>
    <w:multiLevelType w:val="multilevel"/>
    <w:tmpl w:val="1278F38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54546C20"/>
    <w:multiLevelType w:val="multilevel"/>
    <w:tmpl w:val="88CC72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626F12A3"/>
    <w:multiLevelType w:val="hybridMultilevel"/>
    <w:tmpl w:val="5F722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C2365"/>
    <w:multiLevelType w:val="hybridMultilevel"/>
    <w:tmpl w:val="0824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32A5F"/>
    <w:multiLevelType w:val="multilevel"/>
    <w:tmpl w:val="5ABAEC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98"/>
    <w:rsid w:val="000C180F"/>
    <w:rsid w:val="000D750E"/>
    <w:rsid w:val="001446F6"/>
    <w:rsid w:val="00147893"/>
    <w:rsid w:val="0017257C"/>
    <w:rsid w:val="001927FB"/>
    <w:rsid w:val="002339F7"/>
    <w:rsid w:val="0027679D"/>
    <w:rsid w:val="002A4D7C"/>
    <w:rsid w:val="0031270F"/>
    <w:rsid w:val="00316399"/>
    <w:rsid w:val="0032571F"/>
    <w:rsid w:val="003642E6"/>
    <w:rsid w:val="00372256"/>
    <w:rsid w:val="003C326E"/>
    <w:rsid w:val="00417BA7"/>
    <w:rsid w:val="00421BC5"/>
    <w:rsid w:val="0045626B"/>
    <w:rsid w:val="004D4EE2"/>
    <w:rsid w:val="005366A8"/>
    <w:rsid w:val="00546550"/>
    <w:rsid w:val="005F0EFC"/>
    <w:rsid w:val="006E174B"/>
    <w:rsid w:val="00734CF8"/>
    <w:rsid w:val="00783A58"/>
    <w:rsid w:val="007A5132"/>
    <w:rsid w:val="007E26BD"/>
    <w:rsid w:val="00856D85"/>
    <w:rsid w:val="00976008"/>
    <w:rsid w:val="009B179A"/>
    <w:rsid w:val="009D1859"/>
    <w:rsid w:val="009E04E5"/>
    <w:rsid w:val="009E0CD2"/>
    <w:rsid w:val="00A37824"/>
    <w:rsid w:val="00A4338E"/>
    <w:rsid w:val="00A45DC4"/>
    <w:rsid w:val="00A76682"/>
    <w:rsid w:val="00A84DA9"/>
    <w:rsid w:val="00AF0098"/>
    <w:rsid w:val="00B162B7"/>
    <w:rsid w:val="00B245EF"/>
    <w:rsid w:val="00B374E8"/>
    <w:rsid w:val="00B62334"/>
    <w:rsid w:val="00BA072B"/>
    <w:rsid w:val="00C8007B"/>
    <w:rsid w:val="00C8252E"/>
    <w:rsid w:val="00CA4424"/>
    <w:rsid w:val="00CC377D"/>
    <w:rsid w:val="00CE138D"/>
    <w:rsid w:val="00D16A88"/>
    <w:rsid w:val="00D82337"/>
    <w:rsid w:val="00DB661F"/>
    <w:rsid w:val="00DD1CDC"/>
    <w:rsid w:val="00E35B90"/>
    <w:rsid w:val="00E7327B"/>
    <w:rsid w:val="00EB18AA"/>
    <w:rsid w:val="00EB28F3"/>
    <w:rsid w:val="00EF15B9"/>
    <w:rsid w:val="00F03F95"/>
    <w:rsid w:val="00F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7671"/>
  <w15:docId w15:val="{406EAEE1-7F9A-43D5-B1B5-04A258B8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5"/>
      </w:numPr>
    </w:pPr>
  </w:style>
  <w:style w:type="numbering" w:customStyle="1" w:styleId="Stileimportato1">
    <w:name w:val="Stile importato 1"/>
  </w:style>
  <w:style w:type="paragraph" w:customStyle="1" w:styleId="Default">
    <w:name w:val="Default"/>
    <w:rsid w:val="00172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A046-301E-45B1-A02D-4ACB090C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nembrini</dc:creator>
  <cp:lastModifiedBy>postiglione</cp:lastModifiedBy>
  <cp:revision>36</cp:revision>
  <dcterms:created xsi:type="dcterms:W3CDTF">2016-07-18T17:52:00Z</dcterms:created>
  <dcterms:modified xsi:type="dcterms:W3CDTF">2018-04-09T13:27:00Z</dcterms:modified>
</cp:coreProperties>
</file>